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EC09" w14:textId="77777777" w:rsidR="003448E6" w:rsidRDefault="00AA448E" w:rsidP="00066582">
      <w:pPr>
        <w:jc w:val="center"/>
        <w:rPr>
          <w:rFonts w:ascii="Times New Roman" w:eastAsia="Times New Roman" w:hAnsi="Times New Roman" w:cs="Times New Roman"/>
          <w:b/>
          <w:bCs/>
          <w:color w:val="000000"/>
          <w:sz w:val="32"/>
          <w:szCs w:val="32"/>
        </w:rPr>
      </w:pPr>
      <w:r w:rsidRPr="00AA448E">
        <w:rPr>
          <w:rFonts w:ascii="Times New Roman" w:eastAsia="Times New Roman" w:hAnsi="Times New Roman" w:cs="Times New Roman"/>
          <w:b/>
          <w:bCs/>
          <w:color w:val="000000"/>
          <w:sz w:val="32"/>
          <w:szCs w:val="32"/>
        </w:rPr>
        <w:t xml:space="preserve">CHARTER OF THE COMPENSATION COMMITTEE OF </w:t>
      </w:r>
    </w:p>
    <w:p w14:paraId="7C7CD9C6" w14:textId="6FA30773" w:rsidR="00507A84" w:rsidRPr="006E10E8" w:rsidRDefault="0026675D" w:rsidP="00507A84">
      <w:pPr>
        <w:pStyle w:val="DocumentTitle"/>
        <w:spacing w:before="0" w:after="0"/>
        <w:rPr>
          <w:rFonts w:ascii="Times New Roman Bold" w:hAnsi="Times New Roman Bold" w:cs="Times New Roman (Body CS)" w:hint="eastAsia"/>
          <w:caps/>
        </w:rPr>
      </w:pPr>
      <w:r w:rsidRPr="0026675D">
        <w:rPr>
          <w:rFonts w:ascii="Times New Roman Bold" w:hAnsi="Times New Roman Bold" w:cs="Times New Roman (Body CS)"/>
          <w:caps/>
        </w:rPr>
        <w:t>Mint Incorporation Limited</w:t>
      </w:r>
    </w:p>
    <w:p w14:paraId="1F86FF9D" w14:textId="77777777" w:rsidR="00066582" w:rsidRPr="00AA448E" w:rsidRDefault="00066582" w:rsidP="00066582">
      <w:pPr>
        <w:jc w:val="center"/>
        <w:rPr>
          <w:rFonts w:ascii="Times New Roman" w:eastAsia="Times New Roman" w:hAnsi="Times New Roman" w:cs="Times New Roman"/>
        </w:rPr>
      </w:pPr>
    </w:p>
    <w:p w14:paraId="29ECF774"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Membership</w:t>
      </w:r>
    </w:p>
    <w:p w14:paraId="02DDE959" w14:textId="77777777" w:rsidR="00AA448E" w:rsidRPr="00AA448E" w:rsidRDefault="00AA448E" w:rsidP="00AA448E">
      <w:pPr>
        <w:jc w:val="both"/>
        <w:rPr>
          <w:rFonts w:ascii="Times New Roman" w:eastAsia="Times New Roman" w:hAnsi="Times New Roman" w:cs="Times New Roman"/>
        </w:rPr>
      </w:pPr>
    </w:p>
    <w:p w14:paraId="164DA465" w14:textId="089C9609" w:rsidR="00AA448E" w:rsidRPr="00507A84" w:rsidRDefault="00AA448E" w:rsidP="00AA448E">
      <w:pPr>
        <w:ind w:firstLine="720"/>
        <w:jc w:val="both"/>
        <w:rPr>
          <w:rFonts w:ascii="Times New Roman" w:eastAsia="Times New Roman" w:hAnsi="Times New Roman" w:cs="Times New Roman"/>
        </w:rPr>
      </w:pPr>
      <w:r w:rsidRPr="00507A84">
        <w:rPr>
          <w:rFonts w:ascii="Times New Roman" w:eastAsia="Times New Roman" w:hAnsi="Times New Roman" w:cs="Times New Roman"/>
          <w:color w:val="000000"/>
        </w:rPr>
        <w:t>The Compensation Committee (the "</w:t>
      </w:r>
      <w:r w:rsidRPr="00507A84">
        <w:rPr>
          <w:rFonts w:ascii="Times New Roman" w:eastAsia="Times New Roman" w:hAnsi="Times New Roman" w:cs="Times New Roman"/>
          <w:b/>
          <w:bCs/>
          <w:color w:val="000000"/>
        </w:rPr>
        <w:t>Committee</w:t>
      </w:r>
      <w:r w:rsidRPr="00507A84">
        <w:rPr>
          <w:rFonts w:ascii="Times New Roman" w:eastAsia="Times New Roman" w:hAnsi="Times New Roman" w:cs="Times New Roman"/>
          <w:color w:val="000000"/>
        </w:rPr>
        <w:t>") of the board of directors (the "</w:t>
      </w:r>
      <w:r w:rsidRPr="00507A84">
        <w:rPr>
          <w:rFonts w:ascii="Times New Roman" w:eastAsia="Times New Roman" w:hAnsi="Times New Roman" w:cs="Times New Roman"/>
          <w:b/>
          <w:bCs/>
          <w:color w:val="000000"/>
        </w:rPr>
        <w:t>Board</w:t>
      </w:r>
      <w:r w:rsidRPr="00507A84">
        <w:rPr>
          <w:rFonts w:ascii="Times New Roman" w:eastAsia="Times New Roman" w:hAnsi="Times New Roman" w:cs="Times New Roman"/>
          <w:color w:val="000000"/>
        </w:rPr>
        <w:t xml:space="preserve">") of </w:t>
      </w:r>
      <w:r w:rsidR="0026675D" w:rsidRPr="0026675D">
        <w:rPr>
          <w:rFonts w:ascii="Times New Roman" w:hAnsi="Times New Roman" w:cs="Times New Roman"/>
        </w:rPr>
        <w:t>Mint Incorporation Limited</w:t>
      </w:r>
      <w:r w:rsidR="00507A84" w:rsidRPr="00507A84">
        <w:rPr>
          <w:rFonts w:ascii="Times New Roman" w:eastAsia="Times New Roman" w:hAnsi="Times New Roman" w:cs="Times New Roman"/>
          <w:color w:val="000000"/>
        </w:rPr>
        <w:t xml:space="preserve"> </w:t>
      </w:r>
      <w:r w:rsidRPr="00507A84">
        <w:rPr>
          <w:rFonts w:ascii="Times New Roman" w:eastAsia="Times New Roman" w:hAnsi="Times New Roman" w:cs="Times New Roman"/>
          <w:color w:val="000000"/>
        </w:rPr>
        <w:t>(the "</w:t>
      </w:r>
      <w:r w:rsidRPr="00507A84">
        <w:rPr>
          <w:rFonts w:ascii="Times New Roman" w:eastAsia="Times New Roman" w:hAnsi="Times New Roman" w:cs="Times New Roman"/>
          <w:b/>
          <w:bCs/>
          <w:color w:val="000000"/>
        </w:rPr>
        <w:t>Company</w:t>
      </w:r>
      <w:r w:rsidRPr="00507A84">
        <w:rPr>
          <w:rFonts w:ascii="Times New Roman" w:eastAsia="Times New Roman" w:hAnsi="Times New Roman" w:cs="Times New Roman"/>
          <w:color w:val="000000"/>
        </w:rPr>
        <w:t xml:space="preserve">") shall consist of three or more directors. Each member of the Committee shall be independent in accordance with the rules of the </w:t>
      </w:r>
      <w:r w:rsidR="005658AD" w:rsidRPr="00507A84">
        <w:rPr>
          <w:rFonts w:ascii="Times New Roman" w:eastAsia="Times New Roman" w:hAnsi="Times New Roman" w:cs="Times New Roman"/>
          <w:color w:val="000000"/>
        </w:rPr>
        <w:t>Nasdaq</w:t>
      </w:r>
      <w:r w:rsidRPr="00507A84">
        <w:rPr>
          <w:rFonts w:ascii="Times New Roman" w:eastAsia="Times New Roman" w:hAnsi="Times New Roman" w:cs="Times New Roman"/>
          <w:color w:val="000000"/>
        </w:rPr>
        <w:t xml:space="preserve"> Stock Market. </w:t>
      </w:r>
    </w:p>
    <w:p w14:paraId="3BA87EDA" w14:textId="77777777" w:rsidR="00AA448E" w:rsidRPr="00507A84" w:rsidRDefault="00AA448E" w:rsidP="00AA448E">
      <w:pPr>
        <w:jc w:val="both"/>
        <w:rPr>
          <w:rFonts w:ascii="Times New Roman" w:eastAsia="Times New Roman" w:hAnsi="Times New Roman" w:cs="Times New Roman"/>
        </w:rPr>
      </w:pPr>
    </w:p>
    <w:p w14:paraId="4A17389A" w14:textId="77777777" w:rsidR="00AA448E" w:rsidRPr="00AA448E" w:rsidRDefault="00AA448E" w:rsidP="00AA448E">
      <w:pPr>
        <w:ind w:firstLine="720"/>
        <w:jc w:val="both"/>
        <w:rPr>
          <w:rFonts w:ascii="Times New Roman" w:eastAsia="Times New Roman" w:hAnsi="Times New Roman" w:cs="Times New Roman"/>
        </w:rPr>
      </w:pPr>
      <w:r w:rsidRPr="00507A84">
        <w:rPr>
          <w:rFonts w:ascii="Times New Roman" w:eastAsia="Times New Roman" w:hAnsi="Times New Roman" w:cs="Times New Roman"/>
          <w:color w:val="000000"/>
        </w:rPr>
        <w:t>Each member of the Committee</w:t>
      </w:r>
      <w:r w:rsidRPr="00AA448E">
        <w:rPr>
          <w:rFonts w:ascii="Times New Roman" w:eastAsia="Times New Roman" w:hAnsi="Times New Roman" w:cs="Times New Roman"/>
          <w:color w:val="000000"/>
        </w:rPr>
        <w:t xml:space="preserve"> must qualify as "non-employee directors" for the purposes of Rule 16b-3 under the Securities Exchange Act of 1934, as amended (the "</w:t>
      </w:r>
      <w:r w:rsidRPr="00AA448E">
        <w:rPr>
          <w:rFonts w:ascii="Times New Roman" w:eastAsia="Times New Roman" w:hAnsi="Times New Roman" w:cs="Times New Roman"/>
          <w:b/>
          <w:bCs/>
          <w:color w:val="000000"/>
        </w:rPr>
        <w:t>Exchange Act</w:t>
      </w:r>
      <w:r w:rsidRPr="00AA448E">
        <w:rPr>
          <w:rFonts w:ascii="Times New Roman" w:eastAsia="Times New Roman" w:hAnsi="Times New Roman" w:cs="Times New Roman"/>
          <w:color w:val="000000"/>
        </w:rPr>
        <w:t>"). </w:t>
      </w:r>
    </w:p>
    <w:p w14:paraId="77E349C1" w14:textId="77777777" w:rsidR="00AA448E" w:rsidRPr="00AA448E" w:rsidRDefault="00AA448E" w:rsidP="00AA448E">
      <w:pPr>
        <w:jc w:val="both"/>
        <w:rPr>
          <w:rFonts w:ascii="Times New Roman" w:eastAsia="Times New Roman" w:hAnsi="Times New Roman" w:cs="Times New Roman"/>
        </w:rPr>
      </w:pPr>
    </w:p>
    <w:p w14:paraId="65915AD6"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members of the Committee shall be appointed by the Board based on recommendations from the nominating and corporate governance committee of the Board. The members of the Committee shall serve for such term or terms as the Board may determine or until earlier resignation or death. The Board may remove any member from the Committee at any time with or without cause.</w:t>
      </w:r>
    </w:p>
    <w:p w14:paraId="1456A8F9" w14:textId="77777777" w:rsidR="00AA448E" w:rsidRPr="00AA448E" w:rsidRDefault="00AA448E" w:rsidP="00AA448E">
      <w:pPr>
        <w:jc w:val="both"/>
        <w:rPr>
          <w:rFonts w:ascii="Times New Roman" w:eastAsia="Times New Roman" w:hAnsi="Times New Roman" w:cs="Times New Roman"/>
        </w:rPr>
      </w:pPr>
    </w:p>
    <w:p w14:paraId="5B9D1B24"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Purpose</w:t>
      </w:r>
    </w:p>
    <w:p w14:paraId="3527273E" w14:textId="77777777" w:rsidR="00AA448E" w:rsidRPr="00AA448E" w:rsidRDefault="00AA448E" w:rsidP="00AA448E">
      <w:pPr>
        <w:rPr>
          <w:rFonts w:ascii="Times New Roman" w:eastAsia="Times New Roman" w:hAnsi="Times New Roman" w:cs="Times New Roman"/>
        </w:rPr>
      </w:pPr>
    </w:p>
    <w:p w14:paraId="3A195655"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purpose of the Committee is to carry out the responsibilities delegated by the Board relating to the review and determination of executive compensation.</w:t>
      </w:r>
    </w:p>
    <w:p w14:paraId="7911C86D" w14:textId="77777777" w:rsidR="00AA448E" w:rsidRPr="00AA448E" w:rsidRDefault="00AA448E" w:rsidP="00AA448E">
      <w:pPr>
        <w:jc w:val="both"/>
        <w:rPr>
          <w:rFonts w:ascii="Times New Roman" w:eastAsia="Times New Roman" w:hAnsi="Times New Roman" w:cs="Times New Roman"/>
        </w:rPr>
      </w:pPr>
    </w:p>
    <w:p w14:paraId="3A42FDBA"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Duties and Responsibilities</w:t>
      </w:r>
    </w:p>
    <w:p w14:paraId="370C936D" w14:textId="77777777" w:rsidR="00AA448E" w:rsidRPr="00AA448E" w:rsidRDefault="00AA448E" w:rsidP="00AA448E">
      <w:pPr>
        <w:rPr>
          <w:rFonts w:ascii="Times New Roman" w:eastAsia="Times New Roman" w:hAnsi="Times New Roman" w:cs="Times New Roman"/>
        </w:rPr>
      </w:pPr>
    </w:p>
    <w:p w14:paraId="788081AE"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have the following authority and responsibilities:</w:t>
      </w:r>
    </w:p>
    <w:p w14:paraId="74FBDC2E" w14:textId="77777777" w:rsidR="00AA448E" w:rsidRPr="00AA448E" w:rsidRDefault="00AA448E" w:rsidP="00AA448E">
      <w:pPr>
        <w:jc w:val="both"/>
        <w:rPr>
          <w:rFonts w:ascii="Times New Roman" w:eastAsia="Times New Roman" w:hAnsi="Times New Roman" w:cs="Times New Roman"/>
        </w:rPr>
      </w:pPr>
    </w:p>
    <w:p w14:paraId="7D3AC72B"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To review and approve annually the corporate goals and objectives applicable to the compensation of the chief executive officer ("</w:t>
      </w:r>
      <w:r w:rsidRPr="00AA448E">
        <w:rPr>
          <w:rFonts w:ascii="Times New Roman" w:eastAsia="Times New Roman" w:hAnsi="Times New Roman" w:cs="Times New Roman"/>
          <w:b/>
          <w:bCs/>
          <w:color w:val="000000"/>
        </w:rPr>
        <w:t>CEO</w:t>
      </w:r>
      <w:r w:rsidRPr="00AA448E">
        <w:rPr>
          <w:rFonts w:ascii="Times New Roman" w:eastAsia="Times New Roman" w:hAnsi="Times New Roman" w:cs="Times New Roman"/>
          <w:color w:val="000000"/>
        </w:rPr>
        <w:t xml:space="preserve">"), evaluate at least annually the CEO's performance </w:t>
      </w:r>
      <w:proofErr w:type="gramStart"/>
      <w:r w:rsidRPr="00AA448E">
        <w:rPr>
          <w:rFonts w:ascii="Times New Roman" w:eastAsia="Times New Roman" w:hAnsi="Times New Roman" w:cs="Times New Roman"/>
          <w:color w:val="000000"/>
        </w:rPr>
        <w:t>in light of</w:t>
      </w:r>
      <w:proofErr w:type="gramEnd"/>
      <w:r w:rsidRPr="00AA448E">
        <w:rPr>
          <w:rFonts w:ascii="Times New Roman" w:eastAsia="Times New Roman" w:hAnsi="Times New Roman" w:cs="Times New Roman"/>
          <w:color w:val="000000"/>
        </w:rPr>
        <w:t xml:space="preserve"> those goals and objectives, and recommend to the Board for approval the CEO's compensation level based on this evaluation.  The CEO cannot be present during any voting or deliberations by the Committee on his or her compensation.</w:t>
      </w:r>
    </w:p>
    <w:p w14:paraId="52F7C391" w14:textId="77777777" w:rsidR="00AA448E" w:rsidRPr="00AA448E" w:rsidRDefault="00AA448E" w:rsidP="00AA448E">
      <w:pPr>
        <w:jc w:val="both"/>
        <w:rPr>
          <w:rFonts w:ascii="Times New Roman" w:eastAsia="Times New Roman" w:hAnsi="Times New Roman" w:cs="Times New Roman"/>
        </w:rPr>
      </w:pPr>
    </w:p>
    <w:p w14:paraId="061670C3"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To review and make recommendations to the Board regarding the compensation of all other executive officers. </w:t>
      </w:r>
    </w:p>
    <w:p w14:paraId="25F0AF93" w14:textId="77777777" w:rsidR="00AA448E" w:rsidRPr="00AA448E" w:rsidRDefault="00AA448E" w:rsidP="00AA448E">
      <w:pPr>
        <w:jc w:val="both"/>
        <w:rPr>
          <w:rFonts w:ascii="Times New Roman" w:eastAsia="Times New Roman" w:hAnsi="Times New Roman" w:cs="Times New Roman"/>
        </w:rPr>
      </w:pPr>
    </w:p>
    <w:p w14:paraId="1D8C5FDD" w14:textId="549B9E92"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To review, and make recommendations to the Board regarding, incentive compensation plans and equity-based plans, and where appropriate or required, recommend for approval by the </w:t>
      </w:r>
      <w:r>
        <w:rPr>
          <w:rFonts w:ascii="Times New Roman" w:eastAsia="Times New Roman" w:hAnsi="Times New Roman" w:cs="Times New Roman"/>
          <w:color w:val="000000"/>
        </w:rPr>
        <w:t>share</w:t>
      </w:r>
      <w:r w:rsidRPr="00AA448E">
        <w:rPr>
          <w:rFonts w:ascii="Times New Roman" w:eastAsia="Times New Roman" w:hAnsi="Times New Roman" w:cs="Times New Roman"/>
          <w:color w:val="000000"/>
        </w:rPr>
        <w:t>holders of the Company, which includes the ability to adopt, amend and terminate such plans. The Committee shall also have the authority to administer the Company's incentive compensation plans and equity-based plans, including designation of the employees to whom the awards are to be granted, the amount of the award or equity to be granted and the terms and conditions applicable to each award or grant, subject to the provisions of each plan.</w:t>
      </w:r>
    </w:p>
    <w:p w14:paraId="2D466360" w14:textId="77777777" w:rsidR="00AA448E" w:rsidRPr="00AA448E" w:rsidRDefault="00AA448E" w:rsidP="00AA448E">
      <w:pPr>
        <w:jc w:val="both"/>
        <w:rPr>
          <w:rFonts w:ascii="Times New Roman" w:eastAsia="Times New Roman" w:hAnsi="Times New Roman" w:cs="Times New Roman"/>
        </w:rPr>
      </w:pPr>
    </w:p>
    <w:p w14:paraId="005F154C"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lastRenderedPageBreak/>
        <w:t>To review, and make recommendations to the Board regarding, any employment agreements and any severance arrangements or plans, including any benefits to be provided in connection with a change in control, for the CEO and other executive officers, which includes the ability to adopt, amend and terminate such agreements, arrangements or plans.</w:t>
      </w:r>
    </w:p>
    <w:p w14:paraId="5AC0B9A8" w14:textId="77777777" w:rsidR="00AA448E" w:rsidRPr="00AA448E" w:rsidRDefault="00AA448E" w:rsidP="00AA448E">
      <w:pPr>
        <w:jc w:val="both"/>
        <w:rPr>
          <w:rFonts w:ascii="Times New Roman" w:eastAsia="Times New Roman" w:hAnsi="Times New Roman" w:cs="Times New Roman"/>
        </w:rPr>
      </w:pPr>
    </w:p>
    <w:p w14:paraId="2E9F52F3"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To review all director compensation and benefits for service on the Board and Board committees at least once a year and to recommend any changes to the Board as necessary.</w:t>
      </w:r>
    </w:p>
    <w:p w14:paraId="313E123D" w14:textId="77777777" w:rsidR="00AA448E" w:rsidRPr="00AA448E" w:rsidRDefault="00AA448E" w:rsidP="00AA448E">
      <w:pPr>
        <w:jc w:val="both"/>
        <w:rPr>
          <w:rFonts w:ascii="Times New Roman" w:eastAsia="Times New Roman" w:hAnsi="Times New Roman" w:cs="Times New Roman"/>
        </w:rPr>
      </w:pPr>
    </w:p>
    <w:p w14:paraId="354E7F75" w14:textId="5103D782"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To oversee, in conjunction with the Board, engagement with </w:t>
      </w:r>
      <w:r>
        <w:rPr>
          <w:rFonts w:ascii="Times New Roman" w:eastAsia="Times New Roman" w:hAnsi="Times New Roman" w:cs="Times New Roman"/>
          <w:color w:val="000000"/>
        </w:rPr>
        <w:t>share</w:t>
      </w:r>
      <w:r w:rsidRPr="00AA448E">
        <w:rPr>
          <w:rFonts w:ascii="Times New Roman" w:eastAsia="Times New Roman" w:hAnsi="Times New Roman" w:cs="Times New Roman"/>
          <w:color w:val="000000"/>
        </w:rPr>
        <w:t>holders and proxy advisory firms on executive compensation matters.</w:t>
      </w:r>
    </w:p>
    <w:p w14:paraId="1F7C886B" w14:textId="27139EC4" w:rsidR="00AA448E" w:rsidRPr="002501AB" w:rsidRDefault="00AA448E" w:rsidP="00AA448E">
      <w:pPr>
        <w:jc w:val="both"/>
        <w:rPr>
          <w:rFonts w:ascii="Times New Roman" w:hAnsi="Times New Roman" w:cs="Times New Roman"/>
          <w:lang w:eastAsia="zh-TW"/>
        </w:rPr>
      </w:pPr>
    </w:p>
    <w:p w14:paraId="078A2D58"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Outside Advisors</w:t>
      </w:r>
    </w:p>
    <w:p w14:paraId="5AFA2C7C" w14:textId="77777777" w:rsidR="00AA448E" w:rsidRPr="00AA448E" w:rsidRDefault="00AA448E" w:rsidP="00AA448E">
      <w:pPr>
        <w:rPr>
          <w:rFonts w:ascii="Times New Roman" w:eastAsia="Times New Roman" w:hAnsi="Times New Roman" w:cs="Times New Roman"/>
        </w:rPr>
      </w:pPr>
    </w:p>
    <w:p w14:paraId="4A896EA2"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have the authority, in its sole discretion, to select, retain and obtain the advice of a compensation consultant as necessary to assist with the execution of its duties and responsibilities as set forth in this Charter. The Committee shall set the compensation, and oversee the work, of the compensation consultant. The Committee shall have the authority, in its sole discretion, to retain and obtain the advice and assistance of outside legal counsel and such other advisors as it deems necessary to fulfill its duties and responsibilities under this Charter. The Committee shall set the compensation, and oversee the work, of its outside legal counsel and other advisors. The Committee shall receive appropriate funding from the Company, as determined by the Committee in its capacity as a committee of the Board, for the payment of compensation to its compensation consultants, outside legal counsel and any other advisors. However, the Committee shall not be required to implement or act consistently with the advice or recommendations of its compensation consultant, legal counsel or other advisor to the compensation committee, and the authority granted in this Charter shall not affect the ability or obligation of the Committee to exercise its own judgment in fulfillment of its duties under this Charter.</w:t>
      </w:r>
    </w:p>
    <w:p w14:paraId="156611AC" w14:textId="77777777" w:rsidR="00AA448E" w:rsidRPr="00AA448E" w:rsidRDefault="00AA448E" w:rsidP="00AA448E">
      <w:pPr>
        <w:jc w:val="both"/>
        <w:rPr>
          <w:rFonts w:ascii="Times New Roman" w:eastAsia="Times New Roman" w:hAnsi="Times New Roman" w:cs="Times New Roman"/>
        </w:rPr>
      </w:pPr>
    </w:p>
    <w:p w14:paraId="07C0BEA4"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In retaining or seeking advice from compensation consultants, outside counsel and other advisors (other than the Company's in-house counsel), the Committee must take into consideration the factors specified in Nasdaq Listing Rule 5605(d)(1)(D). The Committee may retain, or receive advice from, any compensation advisor they prefer, including ones that are not independent, after considering the specified factors. The Committee is not required to assess the independence of any compensation consultant or other advisor that acts in a role limited to consulting on any broad-based plan that does not discriminate in scope, terms or operation in favor of executive officers or directors and that is generally available to all salaried employees or providing information that is not customized for a particular company or that is customized based on parameters that are not developed by the consultant or advisor, and about which the consultant or advisor does not provide advice. </w:t>
      </w:r>
    </w:p>
    <w:p w14:paraId="085E542D" w14:textId="77777777" w:rsidR="00AA448E" w:rsidRPr="00AA448E" w:rsidRDefault="00AA448E" w:rsidP="00AA448E">
      <w:pPr>
        <w:jc w:val="both"/>
        <w:rPr>
          <w:rFonts w:ascii="Times New Roman" w:eastAsia="Times New Roman" w:hAnsi="Times New Roman" w:cs="Times New Roman"/>
        </w:rPr>
      </w:pPr>
    </w:p>
    <w:p w14:paraId="25CFF779"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evaluate whether any compensation consultant retained or to be retained by it has any conflict of interest in accordance with Item 407(e)(3)(iv) of Regulation S-K. Any compensation consultant retained by the Committee to assist with its responsibilities relating to executive compensation or director compensation shall not be retained by the Company for any compensation or other human resource matters.</w:t>
      </w:r>
    </w:p>
    <w:p w14:paraId="3655AE7B" w14:textId="77777777" w:rsidR="00AA448E" w:rsidRPr="00AA448E" w:rsidRDefault="00AA448E" w:rsidP="00AA448E">
      <w:pPr>
        <w:rPr>
          <w:rFonts w:ascii="Times New Roman" w:eastAsia="Times New Roman" w:hAnsi="Times New Roman" w:cs="Times New Roman"/>
        </w:rPr>
      </w:pPr>
    </w:p>
    <w:p w14:paraId="10137024"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lastRenderedPageBreak/>
        <w:t>Structure and Operations</w:t>
      </w:r>
    </w:p>
    <w:p w14:paraId="54C1C52E" w14:textId="77777777" w:rsidR="00AA448E" w:rsidRPr="00AA448E" w:rsidRDefault="00AA448E" w:rsidP="00AA448E">
      <w:pPr>
        <w:rPr>
          <w:rFonts w:ascii="Times New Roman" w:eastAsia="Times New Roman" w:hAnsi="Times New Roman" w:cs="Times New Roman"/>
        </w:rPr>
      </w:pPr>
    </w:p>
    <w:p w14:paraId="28B66714"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Board shall designate a member of the Committee as the chairperson. The Committee shall meet at least two times a year at such times and places as it deems necessary to fulfill its responsibilities. The Committee shall report regularly to the Board regarding its actions and make recommendations to the Board as appropriate. The Committee is governed by the same rules regarding meetings (including meetings in person or by telephone or other similar communications equipment), action without meetings, notice, waiver of notice, and quorum and voting requirements as are applicable to the Board.</w:t>
      </w:r>
    </w:p>
    <w:p w14:paraId="789D3D48" w14:textId="77777777" w:rsidR="00AA448E" w:rsidRPr="00AA448E" w:rsidRDefault="00AA448E" w:rsidP="00AA448E">
      <w:pPr>
        <w:jc w:val="both"/>
        <w:rPr>
          <w:rFonts w:ascii="Times New Roman" w:eastAsia="Times New Roman" w:hAnsi="Times New Roman" w:cs="Times New Roman"/>
        </w:rPr>
      </w:pPr>
    </w:p>
    <w:p w14:paraId="4344FD40"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may invite such members of management to its meetings as it deems appropriate. However, the Committee shall meet regularly without such members present, and in all cases the CEO and any other such officers shall not be present at meetings at which their compensation or performance is discussed or determined.</w:t>
      </w:r>
    </w:p>
    <w:p w14:paraId="48B45119" w14:textId="77777777" w:rsidR="00AA448E" w:rsidRPr="00AA448E" w:rsidRDefault="00AA448E" w:rsidP="00AA448E">
      <w:pPr>
        <w:jc w:val="both"/>
        <w:rPr>
          <w:rFonts w:ascii="Times New Roman" w:eastAsia="Times New Roman" w:hAnsi="Times New Roman" w:cs="Times New Roman"/>
        </w:rPr>
      </w:pPr>
    </w:p>
    <w:p w14:paraId="4898058C"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review this Charter at least annually and recommend any proposed changes to the Board for approval.</w:t>
      </w:r>
    </w:p>
    <w:p w14:paraId="0B19A10E" w14:textId="77777777" w:rsidR="00AA448E" w:rsidRPr="00AA448E" w:rsidRDefault="00AA448E" w:rsidP="00AA448E">
      <w:pPr>
        <w:rPr>
          <w:rFonts w:ascii="Times New Roman" w:eastAsia="Times New Roman" w:hAnsi="Times New Roman" w:cs="Times New Roman"/>
        </w:rPr>
      </w:pPr>
    </w:p>
    <w:p w14:paraId="71445DB7"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Delegation of Authority</w:t>
      </w:r>
    </w:p>
    <w:p w14:paraId="66CC2832" w14:textId="77777777" w:rsidR="00AA448E" w:rsidRPr="00AA448E" w:rsidRDefault="00AA448E" w:rsidP="00AA448E">
      <w:pPr>
        <w:rPr>
          <w:rFonts w:ascii="Times New Roman" w:eastAsia="Times New Roman" w:hAnsi="Times New Roman" w:cs="Times New Roman"/>
        </w:rPr>
      </w:pPr>
    </w:p>
    <w:p w14:paraId="412EE39A"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The Committee shall have the authority to delegate any of its responsibilities, along with the authority to </w:t>
      </w:r>
      <w:proofErr w:type="gramStart"/>
      <w:r w:rsidRPr="00AA448E">
        <w:rPr>
          <w:rFonts w:ascii="Times New Roman" w:eastAsia="Times New Roman" w:hAnsi="Times New Roman" w:cs="Times New Roman"/>
          <w:color w:val="000000"/>
        </w:rPr>
        <w:t>take action</w:t>
      </w:r>
      <w:proofErr w:type="gramEnd"/>
      <w:r w:rsidRPr="00AA448E">
        <w:rPr>
          <w:rFonts w:ascii="Times New Roman" w:eastAsia="Times New Roman" w:hAnsi="Times New Roman" w:cs="Times New Roman"/>
          <w:color w:val="000000"/>
        </w:rPr>
        <w:t xml:space="preserve"> in relation to such responsibilities, to one or more subcommittees as the Committee may deem appropriate in its sole discretion.</w:t>
      </w:r>
    </w:p>
    <w:p w14:paraId="3EDE51D4" w14:textId="77777777" w:rsidR="00AA448E" w:rsidRPr="00AA448E" w:rsidRDefault="00AA448E" w:rsidP="00AA448E">
      <w:pPr>
        <w:rPr>
          <w:rFonts w:ascii="Times New Roman" w:eastAsia="Times New Roman" w:hAnsi="Times New Roman" w:cs="Times New Roman"/>
        </w:rPr>
      </w:pPr>
    </w:p>
    <w:p w14:paraId="71F60568"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Performance Evaluation</w:t>
      </w:r>
    </w:p>
    <w:p w14:paraId="063A6D5B" w14:textId="77777777" w:rsidR="00AA448E" w:rsidRPr="00AA448E" w:rsidRDefault="00AA448E" w:rsidP="00AA448E">
      <w:pPr>
        <w:rPr>
          <w:rFonts w:ascii="Times New Roman" w:eastAsia="Times New Roman" w:hAnsi="Times New Roman" w:cs="Times New Roman"/>
        </w:rPr>
      </w:pPr>
    </w:p>
    <w:p w14:paraId="0A81F83B"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conduct an annual evaluation of the performance of its duties under this charter and shall present the results of the evaluation to the Board. The Committee shall conduct this evaluation in such manner as it deems appropriate.</w:t>
      </w:r>
    </w:p>
    <w:p w14:paraId="371C9D71" w14:textId="77777777" w:rsidR="00AA448E" w:rsidRPr="00AA448E" w:rsidRDefault="00AA448E" w:rsidP="00AA448E">
      <w:pPr>
        <w:jc w:val="both"/>
        <w:rPr>
          <w:rFonts w:ascii="Times New Roman" w:eastAsia="Times New Roman" w:hAnsi="Times New Roman" w:cs="Times New Roman"/>
        </w:rPr>
      </w:pPr>
    </w:p>
    <w:p w14:paraId="3CE524A2" w14:textId="77777777" w:rsidR="00E10B0B" w:rsidRDefault="00E10B0B"/>
    <w:sectPr w:rsidR="00E10B0B" w:rsidSect="005B773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3FFB" w14:textId="77777777" w:rsidR="001B05B0" w:rsidRDefault="001B05B0" w:rsidP="00847D3A">
      <w:r>
        <w:separator/>
      </w:r>
    </w:p>
  </w:endnote>
  <w:endnote w:type="continuationSeparator" w:id="0">
    <w:p w14:paraId="4B2C447E" w14:textId="77777777" w:rsidR="001B05B0" w:rsidRDefault="001B05B0" w:rsidP="0084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8533456"/>
      <w:docPartObj>
        <w:docPartGallery w:val="Page Numbers (Bottom of Page)"/>
        <w:docPartUnique/>
      </w:docPartObj>
    </w:sdtPr>
    <w:sdtContent>
      <w:p w14:paraId="5BACDB3E" w14:textId="38F047F1" w:rsidR="00507A84" w:rsidRDefault="00507A84" w:rsidP="002545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85A6C" w14:textId="77777777" w:rsidR="00847D3A" w:rsidRDefault="00847D3A" w:rsidP="00E56B9E">
    <w:pPr>
      <w:pStyle w:val="Footer"/>
      <w:framePr w:wrap="around" w:vAnchor="text" w:hAnchor="margin" w:xAlign="center" w:y="1"/>
      <w:rPr>
        <w:rStyle w:val="PageNumber"/>
      </w:rPr>
    </w:pPr>
  </w:p>
  <w:p w14:paraId="03EACBC8" w14:textId="77777777" w:rsidR="00847D3A" w:rsidRDefault="00847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1308614"/>
      <w:docPartObj>
        <w:docPartGallery w:val="Page Numbers (Bottom of Page)"/>
        <w:docPartUnique/>
      </w:docPartObj>
    </w:sdtPr>
    <w:sdtContent>
      <w:p w14:paraId="5C878619" w14:textId="38CE8728" w:rsidR="00507A84" w:rsidRDefault="00507A84" w:rsidP="002545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A086F5" w14:textId="77777777" w:rsidR="00847D3A" w:rsidRDefault="00847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C67D" w14:textId="77777777" w:rsidR="001B05B0" w:rsidRDefault="001B05B0" w:rsidP="00847D3A">
      <w:r>
        <w:separator/>
      </w:r>
    </w:p>
  </w:footnote>
  <w:footnote w:type="continuationSeparator" w:id="0">
    <w:p w14:paraId="0B785D36" w14:textId="77777777" w:rsidR="001B05B0" w:rsidRDefault="001B05B0" w:rsidP="00847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8E"/>
    <w:rsid w:val="00066582"/>
    <w:rsid w:val="00072089"/>
    <w:rsid w:val="00187154"/>
    <w:rsid w:val="001B05B0"/>
    <w:rsid w:val="001B4D7D"/>
    <w:rsid w:val="002501AB"/>
    <w:rsid w:val="0026675D"/>
    <w:rsid w:val="003448E6"/>
    <w:rsid w:val="00373C55"/>
    <w:rsid w:val="00382DAC"/>
    <w:rsid w:val="0050464F"/>
    <w:rsid w:val="00507A84"/>
    <w:rsid w:val="00512AA9"/>
    <w:rsid w:val="005658AD"/>
    <w:rsid w:val="005B7738"/>
    <w:rsid w:val="005E56EF"/>
    <w:rsid w:val="00632742"/>
    <w:rsid w:val="0069458D"/>
    <w:rsid w:val="006E10E8"/>
    <w:rsid w:val="006E5B42"/>
    <w:rsid w:val="00846AE5"/>
    <w:rsid w:val="00847D3A"/>
    <w:rsid w:val="008F190B"/>
    <w:rsid w:val="00916FC2"/>
    <w:rsid w:val="00922C17"/>
    <w:rsid w:val="009B4D5A"/>
    <w:rsid w:val="00AA448E"/>
    <w:rsid w:val="00B943F6"/>
    <w:rsid w:val="00DB61A2"/>
    <w:rsid w:val="00E10B0B"/>
    <w:rsid w:val="00EA19B5"/>
    <w:rsid w:val="00EE4A0E"/>
    <w:rsid w:val="00F15364"/>
    <w:rsid w:val="00F16BC8"/>
    <w:rsid w:val="00FC6E78"/>
    <w:rsid w:val="00FF1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716AB"/>
  <w15:docId w15:val="{3CB9B833-CC80-42EB-935C-FD8568D9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448E"/>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847D3A"/>
    <w:pPr>
      <w:tabs>
        <w:tab w:val="center" w:pos="4320"/>
        <w:tab w:val="right" w:pos="8640"/>
      </w:tabs>
      <w:snapToGrid w:val="0"/>
    </w:pPr>
    <w:rPr>
      <w:sz w:val="20"/>
      <w:szCs w:val="20"/>
    </w:rPr>
  </w:style>
  <w:style w:type="character" w:customStyle="1" w:styleId="FooterChar">
    <w:name w:val="Footer Char"/>
    <w:basedOn w:val="DefaultParagraphFont"/>
    <w:link w:val="Footer"/>
    <w:uiPriority w:val="99"/>
    <w:rsid w:val="00847D3A"/>
    <w:rPr>
      <w:sz w:val="20"/>
      <w:szCs w:val="20"/>
    </w:rPr>
  </w:style>
  <w:style w:type="character" w:styleId="PageNumber">
    <w:name w:val="page number"/>
    <w:basedOn w:val="DefaultParagraphFont"/>
    <w:uiPriority w:val="99"/>
    <w:semiHidden/>
    <w:unhideWhenUsed/>
    <w:rsid w:val="00847D3A"/>
  </w:style>
  <w:style w:type="character" w:customStyle="1" w:styleId="DocumentTitleChar">
    <w:name w:val="Document Title Char"/>
    <w:link w:val="DocumentTitle"/>
    <w:rsid w:val="00187154"/>
    <w:rPr>
      <w:rFonts w:ascii="Times New Roman" w:hAnsi="Times New Roman"/>
      <w:b/>
      <w:color w:val="000000"/>
      <w:sz w:val="32"/>
    </w:rPr>
  </w:style>
  <w:style w:type="paragraph" w:customStyle="1" w:styleId="DocumentTitle">
    <w:name w:val="Document Title"/>
    <w:link w:val="DocumentTitleChar"/>
    <w:qFormat/>
    <w:rsid w:val="00187154"/>
    <w:pPr>
      <w:spacing w:before="120" w:after="240"/>
      <w:jc w:val="center"/>
      <w:outlineLvl w:val="0"/>
    </w:pPr>
    <w:rPr>
      <w:rFonts w:ascii="Times New Roman" w:hAnsi="Times New Roman"/>
      <w:b/>
      <w:color w:val="000000"/>
      <w:sz w:val="32"/>
    </w:rPr>
  </w:style>
  <w:style w:type="paragraph" w:styleId="Header">
    <w:name w:val="header"/>
    <w:basedOn w:val="Normal"/>
    <w:link w:val="HeaderChar"/>
    <w:uiPriority w:val="99"/>
    <w:unhideWhenUsed/>
    <w:rsid w:val="00507A84"/>
    <w:pPr>
      <w:tabs>
        <w:tab w:val="center" w:pos="4680"/>
        <w:tab w:val="right" w:pos="9360"/>
      </w:tabs>
    </w:pPr>
  </w:style>
  <w:style w:type="character" w:customStyle="1" w:styleId="HeaderChar">
    <w:name w:val="Header Char"/>
    <w:basedOn w:val="DefaultParagraphFont"/>
    <w:link w:val="Header"/>
    <w:uiPriority w:val="99"/>
    <w:rsid w:val="00507A84"/>
  </w:style>
  <w:style w:type="paragraph" w:styleId="Revision">
    <w:name w:val="Revision"/>
    <w:hidden/>
    <w:uiPriority w:val="99"/>
    <w:semiHidden/>
    <w:rsid w:val="001B4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Sang</dc:creator>
  <cp:keywords/>
  <dc:description/>
  <cp:lastModifiedBy>Ortoli Rosenstadt LLP</cp:lastModifiedBy>
  <cp:revision>7</cp:revision>
  <dcterms:created xsi:type="dcterms:W3CDTF">2022-11-04T15:32:00Z</dcterms:created>
  <dcterms:modified xsi:type="dcterms:W3CDTF">2024-07-03T18:01:00Z</dcterms:modified>
</cp:coreProperties>
</file>